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5F" w:rsidRDefault="00861E5D">
      <w:r>
        <w:t>Students will learn 1-2 focus TEKS in every content area over the course of the week. These TEKS will be the focus of the lessons provided by teachers. The focus TEKS and additional TEKS</w:t>
      </w:r>
      <w:r>
        <w:t xml:space="preserve"> for each week will be reinforced in daily activities referenced below.  Are Checkpoints for Understanding are questions designed to help gauge student progress toward the learning goal. </w:t>
      </w:r>
      <w:r w:rsidRPr="00861E5D">
        <w:rPr>
          <w:b/>
          <w:highlight w:val="yellow"/>
        </w:rPr>
        <w:t>These daily checkpoints can be found on BLEND.</w:t>
      </w:r>
    </w:p>
    <w:p w:rsidR="00922C5F" w:rsidRDefault="00922C5F"/>
    <w:tbl>
      <w:tblPr>
        <w:tblStyle w:val="a"/>
        <w:tblW w:w="135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250"/>
        <w:gridCol w:w="2325"/>
        <w:gridCol w:w="2325"/>
        <w:gridCol w:w="2130"/>
        <w:gridCol w:w="2160"/>
      </w:tblGrid>
      <w:tr w:rsidR="00922C5F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22C5F">
        <w:trPr>
          <w:trHeight w:val="470"/>
        </w:trPr>
        <w:tc>
          <w:tcPr>
            <w:tcW w:w="2355" w:type="dxa"/>
            <w:vMerge w:val="restart"/>
          </w:tcPr>
          <w:p w:rsidR="00922C5F" w:rsidRDefault="00922C5F">
            <w:pPr>
              <w:widowControl w:val="0"/>
              <w:spacing w:line="240" w:lineRule="auto"/>
            </w:pPr>
          </w:p>
          <w:p w:rsidR="00922C5F" w:rsidRDefault="00861E5D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71588" cy="927199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927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2C5F" w:rsidRDefault="00922C5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922C5F" w:rsidRDefault="00861E5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Mathematics </w:t>
            </w:r>
          </w:p>
          <w:p w:rsidR="00922C5F" w:rsidRDefault="00861E5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209675" cy="15494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r="-3249" b="-3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114300" distB="114300" distL="114300" distR="114300">
                      <wp:extent cx="378542" cy="366713"/>
                      <wp:effectExtent l="0" t="0" r="0" b="0"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345632">
                                <a:off x="2865916" y="1620210"/>
                                <a:ext cx="476219" cy="35168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22C5F" w:rsidRDefault="00922C5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78542" cy="366713"/>
                      <wp:effectExtent b="0" l="0" r="0" t="0"/>
                      <wp:docPr id="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542" cy="3667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922C5F" w:rsidRDefault="00861E5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hyperlink r:id="rId53">
              <w:r>
                <w:rPr>
                  <w:color w:val="1155CC"/>
                  <w:sz w:val="28"/>
                  <w:szCs w:val="28"/>
                  <w:u w:val="single"/>
                </w:rPr>
                <w:t xml:space="preserve">Math Student </w:t>
              </w:r>
            </w:hyperlink>
            <w:r>
              <w:rPr>
                <w:sz w:val="28"/>
                <w:szCs w:val="28"/>
              </w:rPr>
              <w:t>Overview Page</w:t>
            </w:r>
          </w:p>
          <w:p w:rsidR="00922C5F" w:rsidRDefault="00861E5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Here</w:t>
            </w:r>
          </w:p>
          <w:p w:rsidR="00922C5F" w:rsidRDefault="00922C5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922C5F" w:rsidRDefault="00922C5F">
            <w:pPr>
              <w:widowControl w:val="0"/>
              <w:spacing w:line="240" w:lineRule="auto"/>
              <w:jc w:val="center"/>
            </w:pPr>
          </w:p>
        </w:tc>
        <w:tc>
          <w:tcPr>
            <w:tcW w:w="111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</w:rPr>
              <w:t>Focus TEKS: 5.4(F) simplify numerical expressions that do not involve exponents, including up to two levels of grouping</w:t>
            </w:r>
          </w:p>
          <w:p w:rsidR="00922C5F" w:rsidRDefault="00922C5F">
            <w:pPr>
              <w:widowControl w:val="0"/>
              <w:spacing w:line="240" w:lineRule="auto"/>
            </w:pPr>
          </w:p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Goal(s): I can simplify numerical expressions with two levels of grouping using understandings of models and properties of ope</w:t>
            </w:r>
            <w:r>
              <w:rPr>
                <w:b/>
              </w:rPr>
              <w:t xml:space="preserve">rations. </w:t>
            </w:r>
          </w:p>
          <w:p w:rsidR="00922C5F" w:rsidRDefault="00922C5F">
            <w:pPr>
              <w:widowControl w:val="0"/>
              <w:spacing w:line="240" w:lineRule="auto"/>
              <w:rPr>
                <w:b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Please, use this video as a reference for this week’s math concepts: </w:t>
            </w:r>
            <w:hyperlink r:id="rId54">
              <w:r>
                <w:rPr>
                  <w:color w:val="1155CC"/>
                  <w:sz w:val="20"/>
                  <w:szCs w:val="20"/>
                  <w:u w:val="single"/>
                </w:rPr>
                <w:t>https://youtu.be/ClYdw4d4OmA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22C5F" w:rsidRDefault="00922C5F">
            <w:pPr>
              <w:widowControl w:val="0"/>
              <w:spacing w:line="240" w:lineRule="auto"/>
              <w:rPr>
                <w:b/>
              </w:rPr>
            </w:pPr>
          </w:p>
          <w:p w:rsidR="00922C5F" w:rsidRDefault="00861E5D">
            <w:pPr>
              <w:widowControl w:val="0"/>
              <w:spacing w:line="240" w:lineRule="auto"/>
            </w:pPr>
            <w:hyperlink r:id="rId55">
              <w:r>
                <w:rPr>
                  <w:b/>
                  <w:color w:val="1155CC"/>
                  <w:u w:val="single"/>
                </w:rPr>
                <w:t xml:space="preserve">Click here </w:t>
              </w:r>
              <w:r>
                <w:rPr>
                  <w:b/>
                  <w:color w:val="1155CC"/>
                  <w:u w:val="single"/>
                </w:rPr>
                <w:t xml:space="preserve">to view all printable pages at once. </w:t>
              </w:r>
            </w:hyperlink>
          </w:p>
        </w:tc>
      </w:tr>
      <w:tr w:rsidR="00922C5F">
        <w:trPr>
          <w:trHeight w:val="1950"/>
        </w:trPr>
        <w:tc>
          <w:tcPr>
            <w:tcW w:w="2355" w:type="dxa"/>
            <w:vMerge/>
          </w:tcPr>
          <w:p w:rsidR="00922C5F" w:rsidRDefault="00922C5F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after="200" w:line="240" w:lineRule="auto"/>
            </w:pPr>
            <w:hyperlink r:id="rId56">
              <w:r>
                <w:rPr>
                  <w:color w:val="1155CC"/>
                  <w:u w:val="single"/>
                </w:rPr>
                <w:t>Activity 1 (Monday)</w:t>
              </w:r>
            </w:hyperlink>
          </w:p>
          <w:p w:rsidR="00922C5F" w:rsidRDefault="00861E5D">
            <w:pPr>
              <w:widowControl w:val="0"/>
              <w:spacing w:after="200" w:line="240" w:lineRule="auto"/>
            </w:pPr>
            <w:hyperlink r:id="rId57">
              <w:r>
                <w:rPr>
                  <w:color w:val="1155CC"/>
                  <w:u w:val="single"/>
                </w:rPr>
                <w:t>Checkpoint for understan</w:t>
              </w:r>
              <w:r>
                <w:rPr>
                  <w:color w:val="1155CC"/>
                  <w:u w:val="single"/>
                </w:rPr>
                <w:t xml:space="preserve">ding#1 </w:t>
              </w:r>
            </w:hyperlink>
          </w:p>
          <w:p w:rsidR="00922C5F" w:rsidRDefault="00922C5F">
            <w:pPr>
              <w:widowControl w:val="0"/>
              <w:spacing w:line="240" w:lineRule="auto"/>
            </w:pPr>
          </w:p>
          <w:p w:rsidR="00922C5F" w:rsidRDefault="00861E5D">
            <w:pPr>
              <w:widowControl w:val="0"/>
              <w:spacing w:line="240" w:lineRule="auto"/>
            </w:pPr>
            <w:r>
              <w:t xml:space="preserve">Students will examine the relationship between operations and concrete scenarios.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after="200" w:line="240" w:lineRule="auto"/>
              <w:rPr>
                <w:rFonts w:ascii="Roboto" w:eastAsia="Roboto" w:hAnsi="Roboto" w:cs="Roboto"/>
                <w:color w:val="222222"/>
              </w:rPr>
            </w:pPr>
            <w:hyperlink r:id="rId58">
              <w:r>
                <w:rPr>
                  <w:rFonts w:ascii="Roboto" w:eastAsia="Roboto" w:hAnsi="Roboto" w:cs="Roboto"/>
                  <w:color w:val="1155CC"/>
                  <w:u w:val="single"/>
                </w:rPr>
                <w:t>Activity 2 (Tuesday)</w:t>
              </w:r>
            </w:hyperlink>
          </w:p>
          <w:p w:rsidR="00922C5F" w:rsidRDefault="00861E5D">
            <w:pPr>
              <w:widowControl w:val="0"/>
              <w:spacing w:after="200" w:line="240" w:lineRule="auto"/>
            </w:pPr>
            <w:hyperlink r:id="rId59">
              <w:r>
                <w:rPr>
                  <w:color w:val="1155CC"/>
                  <w:u w:val="single"/>
                </w:rPr>
                <w:t>Checkpoint for understanding #2</w:t>
              </w:r>
            </w:hyperlink>
          </w:p>
          <w:p w:rsidR="00922C5F" w:rsidRDefault="00861E5D">
            <w:pPr>
              <w:widowControl w:val="0"/>
              <w:spacing w:after="200" w:line="240" w:lineRule="auto"/>
              <w:rPr>
                <w:rFonts w:ascii="Roboto" w:eastAsia="Roboto" w:hAnsi="Roboto" w:cs="Roboto"/>
                <w:color w:val="222222"/>
              </w:rPr>
            </w:pPr>
            <w:r>
              <w:t xml:space="preserve">Students will examine the relationship between operations and concrete scenarios and will apply this to STAAR questioning. 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after="200" w:line="240" w:lineRule="auto"/>
            </w:pPr>
            <w:hyperlink r:id="rId60">
              <w:r>
                <w:rPr>
                  <w:color w:val="1155CC"/>
                  <w:u w:val="single"/>
                </w:rPr>
                <w:t>Activity 3 (Wednesday)</w:t>
              </w:r>
            </w:hyperlink>
          </w:p>
          <w:p w:rsidR="00922C5F" w:rsidRDefault="00861E5D">
            <w:pPr>
              <w:widowControl w:val="0"/>
              <w:spacing w:after="200" w:line="240" w:lineRule="auto"/>
            </w:pPr>
            <w:hyperlink r:id="rId61">
              <w:r>
                <w:rPr>
                  <w:color w:val="1155CC"/>
                  <w:u w:val="single"/>
                </w:rPr>
                <w:t>Checkpoint for understanding  #3</w:t>
              </w:r>
            </w:hyperlink>
          </w:p>
          <w:p w:rsidR="00922C5F" w:rsidRDefault="00861E5D">
            <w:pPr>
              <w:widowControl w:val="0"/>
              <w:spacing w:after="200" w:line="240" w:lineRule="auto"/>
            </w:pPr>
            <w:r>
              <w:t xml:space="preserve">Students will review a process to simplify numerical expressions using GEMA. Students will practice applying this to  STAAR questioning.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after="200" w:line="240" w:lineRule="auto"/>
            </w:pPr>
            <w:hyperlink r:id="rId62">
              <w:r>
                <w:rPr>
                  <w:color w:val="1155CC"/>
                  <w:u w:val="single"/>
                </w:rPr>
                <w:t>Activity 4 (Thursday)</w:t>
              </w:r>
            </w:hyperlink>
          </w:p>
          <w:p w:rsidR="00922C5F" w:rsidRDefault="00861E5D">
            <w:pPr>
              <w:widowControl w:val="0"/>
              <w:spacing w:after="200" w:line="240" w:lineRule="auto"/>
            </w:pPr>
            <w:hyperlink r:id="rId63">
              <w:r>
                <w:rPr>
                  <w:color w:val="1155CC"/>
                  <w:u w:val="single"/>
                </w:rPr>
                <w:t>Checkpoint for understanding  #4</w:t>
              </w:r>
            </w:hyperlink>
          </w:p>
          <w:p w:rsidR="00922C5F" w:rsidRDefault="00861E5D">
            <w:pPr>
              <w:widowControl w:val="0"/>
              <w:spacing w:after="200" w:line="240" w:lineRule="auto"/>
            </w:pPr>
            <w:r>
              <w:t xml:space="preserve">Students will review ways to represent multiplication in numerical expressions. Students will practice applying to STAAR questionsing.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after="200" w:line="240" w:lineRule="auto"/>
            </w:pPr>
            <w:hyperlink r:id="rId64">
              <w:r>
                <w:rPr>
                  <w:color w:val="1155CC"/>
                  <w:u w:val="single"/>
                </w:rPr>
                <w:t>Activity 5 (Friday)</w:t>
              </w:r>
            </w:hyperlink>
          </w:p>
          <w:p w:rsidR="00922C5F" w:rsidRDefault="00861E5D">
            <w:pPr>
              <w:widowControl w:val="0"/>
              <w:spacing w:after="200" w:line="240" w:lineRule="auto"/>
            </w:pPr>
            <w:hyperlink r:id="rId65">
              <w:r>
                <w:rPr>
                  <w:color w:val="1155CC"/>
                  <w:u w:val="single"/>
                </w:rPr>
                <w:t>Checkpoint for understanding  #5</w:t>
              </w:r>
            </w:hyperlink>
          </w:p>
          <w:p w:rsidR="00922C5F" w:rsidRDefault="00861E5D">
            <w:pPr>
              <w:widowControl w:val="0"/>
              <w:spacing w:after="200" w:line="240" w:lineRule="auto"/>
            </w:pPr>
            <w:r>
              <w:t>Students will review all material with emp</w:t>
            </w:r>
            <w:r>
              <w:t xml:space="preserve">hasis on decimals and fractions.Students will practice applying to STAAR questioning. </w:t>
            </w:r>
          </w:p>
        </w:tc>
      </w:tr>
      <w:tr w:rsidR="00922C5F">
        <w:trPr>
          <w:trHeight w:val="2070"/>
        </w:trPr>
        <w:tc>
          <w:tcPr>
            <w:tcW w:w="2355" w:type="dxa"/>
            <w:vMerge w:val="restart"/>
          </w:tcPr>
          <w:p w:rsidR="00922C5F" w:rsidRDefault="00922C5F">
            <w:pPr>
              <w:widowControl w:val="0"/>
              <w:spacing w:line="240" w:lineRule="auto"/>
              <w:rPr>
                <w:b/>
              </w:rPr>
            </w:pPr>
          </w:p>
          <w:p w:rsidR="00922C5F" w:rsidRDefault="00861E5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049673" cy="747713"/>
                  <wp:effectExtent l="0" t="0" r="0" b="0"/>
                  <wp:docPr id="1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73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2C5F" w:rsidRDefault="00861E5D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Science</w:t>
            </w:r>
          </w:p>
          <w:p w:rsidR="00922C5F" w:rsidRDefault="00922C5F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  <w:p w:rsidR="00922C5F" w:rsidRDefault="00922C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  <w:ind w:left="2070"/>
              <w:rPr>
                <w:sz w:val="20"/>
                <w:szCs w:val="20"/>
              </w:rPr>
            </w:pPr>
            <w:r>
              <w:rPr>
                <w:b/>
              </w:rPr>
              <w:t xml:space="preserve">Focus TEKS:  </w:t>
            </w:r>
            <w:r>
              <w:rPr>
                <w:b/>
                <w:sz w:val="20"/>
                <w:szCs w:val="20"/>
              </w:rPr>
              <w:t xml:space="preserve">5.9A:   </w:t>
            </w:r>
            <w:r>
              <w:rPr>
                <w:sz w:val="20"/>
                <w:szCs w:val="20"/>
                <w:u w:val="single"/>
              </w:rPr>
              <w:t>observe</w:t>
            </w:r>
            <w:r>
              <w:rPr>
                <w:sz w:val="20"/>
                <w:szCs w:val="20"/>
              </w:rPr>
              <w:t xml:space="preserve"> the way organisms live and survive in their ecosystem ...</w:t>
            </w:r>
          </w:p>
          <w:p w:rsidR="00922C5F" w:rsidRDefault="00861E5D">
            <w:pPr>
              <w:widowControl w:val="0"/>
              <w:spacing w:line="240" w:lineRule="auto"/>
              <w:ind w:left="2160" w:hanging="6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5.9B: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describe </w:t>
            </w:r>
            <w:r>
              <w:rPr>
                <w:sz w:val="20"/>
                <w:szCs w:val="20"/>
              </w:rPr>
              <w:t>how the flow of energy derived from the Sun, used by producers to create their own food, is transferred through a food chain and food web…</w:t>
            </w:r>
          </w:p>
          <w:p w:rsidR="00922C5F" w:rsidRDefault="00861E5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Learning Goal(s):</w:t>
            </w:r>
            <w:r>
              <w:rPr>
                <w:sz w:val="20"/>
                <w:szCs w:val="20"/>
              </w:rPr>
              <w:t xml:space="preserve"> 1.  Locate, on a map, where the ecosystem (biome) can be found.</w:t>
            </w:r>
          </w:p>
          <w:p w:rsidR="00922C5F" w:rsidRDefault="00861E5D">
            <w:pPr>
              <w:widowControl w:val="0"/>
              <w:spacing w:line="240" w:lineRule="auto"/>
              <w:ind w:firstLine="18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Describe the climate (i.e. temp</w:t>
            </w:r>
            <w:r>
              <w:rPr>
                <w:sz w:val="20"/>
                <w:szCs w:val="20"/>
              </w:rPr>
              <w:t>erature, precipitation &amp; seasons) of the ecosystem / biome.</w:t>
            </w:r>
          </w:p>
          <w:p w:rsidR="00922C5F" w:rsidRDefault="00861E5D">
            <w:pPr>
              <w:widowControl w:val="0"/>
              <w:spacing w:line="240" w:lineRule="auto"/>
              <w:ind w:firstLine="18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Draw, name and compare plants from two different ecosystems / biomes.</w:t>
            </w:r>
          </w:p>
          <w:p w:rsidR="00922C5F" w:rsidRDefault="00861E5D">
            <w:pPr>
              <w:widowControl w:val="0"/>
              <w:spacing w:line="240" w:lineRule="auto"/>
              <w:ind w:firstLine="18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Show the transfer of among organisms in the food web of an ecosystem, using arrows.</w:t>
            </w:r>
          </w:p>
          <w:p w:rsidR="00922C5F" w:rsidRDefault="00861E5D">
            <w:pPr>
              <w:widowControl w:val="0"/>
              <w:spacing w:line="240" w:lineRule="auto"/>
              <w:ind w:firstLine="1890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sz w:val="20"/>
                <w:szCs w:val="20"/>
              </w:rPr>
              <w:t>5.  Identify, name and compare an herbivore and a carnivore from two different ecosystems / biomes</w:t>
            </w:r>
          </w:p>
        </w:tc>
      </w:tr>
      <w:tr w:rsidR="00922C5F">
        <w:trPr>
          <w:trHeight w:val="48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922C5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</w:pPr>
            <w:r>
              <w:t>Activity:</w:t>
            </w: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Watch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hyperlink r:id="rId67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Wetlands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22C5F" w:rsidRDefault="00922C5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and/or </w:t>
            </w:r>
          </w:p>
          <w:p w:rsidR="00922C5F" w:rsidRDefault="00922C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Read </w:t>
            </w:r>
            <w:hyperlink r:id="rId68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Wetlands:Swamps</w:t>
              </w:r>
            </w:hyperlink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Complete</w:t>
            </w:r>
            <w:r>
              <w:rPr>
                <w:rFonts w:ascii="Comic Sans MS" w:eastAsia="Comic Sans MS" w:hAnsi="Comic Sans MS" w:cs="Comic Sans MS"/>
              </w:rPr>
              <w:t xml:space="preserve"> word search activity</w:t>
            </w:r>
          </w:p>
          <w:p w:rsidR="00922C5F" w:rsidRDefault="00922C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hyperlink r:id="rId69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922C5F" w:rsidRDefault="00922C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t>Checkpoint for Understanding:</w:t>
            </w:r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Wha</w:t>
            </w:r>
            <w:r>
              <w:rPr>
                <w:rFonts w:ascii="Comic Sans MS" w:eastAsia="Comic Sans MS" w:hAnsi="Comic Sans MS" w:cs="Comic Sans MS"/>
              </w:rPr>
              <w:t>t characteristics define an ecosystem?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</w:pPr>
            <w:r>
              <w:t>Activity:</w:t>
            </w: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</w:rPr>
              <w:t>Watch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hyperlink r:id="rId70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Aquatic Plants Identification</w:t>
              </w:r>
            </w:hyperlink>
          </w:p>
          <w:p w:rsidR="00922C5F" w:rsidRDefault="00922C5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and/or</w:t>
            </w:r>
          </w:p>
          <w:p w:rsidR="00922C5F" w:rsidRDefault="00922C5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Match </w:t>
            </w:r>
            <w:hyperlink r:id="rId71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Wetland Plant Adaptations</w:t>
              </w:r>
            </w:hyperlink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hyperlink r:id="rId72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</w:pPr>
            <w:r>
              <w:t>Checkpoint for Understanding:</w:t>
            </w:r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parts of a plant are adapted so the plant can live and survive in its ecosystem?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</w:pPr>
            <w:r>
              <w:t>Activity:</w:t>
            </w: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Cut, Paste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&amp;</w:t>
            </w:r>
            <w:r>
              <w:rPr>
                <w:rFonts w:ascii="Comic Sans MS" w:eastAsia="Comic Sans MS" w:hAnsi="Comic Sans MS" w:cs="Comic Sans MS"/>
                <w:b/>
              </w:rPr>
              <w:t xml:space="preserve"> Create</w:t>
            </w:r>
            <w:r>
              <w:rPr>
                <w:rFonts w:ascii="Comic Sans MS" w:eastAsia="Comic Sans MS" w:hAnsi="Comic Sans MS" w:cs="Comic Sans MS"/>
              </w:rPr>
              <w:t xml:space="preserve"> a </w:t>
            </w:r>
            <w:hyperlink r:id="rId73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Wetland Food Web</w:t>
              </w:r>
            </w:hyperlink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sz w:val="10"/>
                <w:szCs w:val="10"/>
              </w:rPr>
              <w:t xml:space="preserve"> </w:t>
            </w:r>
          </w:p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Identify </w:t>
            </w:r>
            <w:r>
              <w:rPr>
                <w:rFonts w:ascii="Comic Sans MS" w:eastAsia="Comic Sans MS" w:hAnsi="Comic Sans MS" w:cs="Comic Sans MS"/>
              </w:rPr>
              <w:t>the food chains w/in the food web</w:t>
            </w:r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sz w:val="10"/>
                <w:szCs w:val="10"/>
              </w:rPr>
            </w:pPr>
            <w:hyperlink r:id="rId74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</w:pPr>
            <w:r>
              <w:t>Checkpoint for Understanding:</w:t>
            </w:r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 is energy transferred in an ecosystem?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</w:pPr>
            <w:r>
              <w:t>Activity:</w:t>
            </w: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Watch</w:t>
            </w:r>
            <w:r>
              <w:rPr>
                <w:rFonts w:ascii="Comic Sans MS" w:eastAsia="Comic Sans MS" w:hAnsi="Comic Sans MS" w:cs="Comic Sans MS"/>
              </w:rPr>
              <w:t xml:space="preserve"> BrainPop:</w:t>
            </w: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hyperlink r:id="rId75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Everglades</w:t>
              </w:r>
            </w:hyperlink>
          </w:p>
          <w:p w:rsidR="00922C5F" w:rsidRDefault="00922C5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</w:rPr>
              <w:t>and</w:t>
            </w:r>
          </w:p>
          <w:p w:rsidR="00922C5F" w:rsidRDefault="00922C5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Read a</w:t>
            </w:r>
            <w:r>
              <w:rPr>
                <w:rFonts w:ascii="Comic Sans MS" w:eastAsia="Comic Sans MS" w:hAnsi="Comic Sans MS" w:cs="Comic Sans MS"/>
              </w:rPr>
              <w:t>nimal adaptations and</w:t>
            </w: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Create</w:t>
            </w:r>
            <w:r>
              <w:rPr>
                <w:rFonts w:ascii="Comic Sans MS" w:eastAsia="Comic Sans MS" w:hAnsi="Comic Sans MS" w:cs="Comic Sans MS"/>
              </w:rPr>
              <w:t xml:space="preserve"> a </w:t>
            </w:r>
            <w:hyperlink r:id="rId76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Swamp Creature</w:t>
              </w:r>
            </w:hyperlink>
            <w:hyperlink r:id="rId77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 xml:space="preserve"> </w:t>
              </w:r>
            </w:hyperlink>
          </w:p>
          <w:p w:rsidR="00922C5F" w:rsidRDefault="00922C5F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</w:pPr>
            <w:r>
              <w:t>Checkpoint for Understanding:</w:t>
            </w:r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animals are adapted for the ecosystem?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C5F" w:rsidRDefault="00861E5D">
            <w:pPr>
              <w:widowControl w:val="0"/>
              <w:spacing w:line="240" w:lineRule="auto"/>
            </w:pPr>
            <w:r>
              <w:t>Activity:</w:t>
            </w:r>
          </w:p>
          <w:p w:rsidR="00922C5F" w:rsidRDefault="00861E5D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Watch </w:t>
            </w:r>
            <w:r>
              <w:rPr>
                <w:sz w:val="21"/>
                <w:szCs w:val="21"/>
              </w:rPr>
              <w:t xml:space="preserve">what’s happening at </w:t>
            </w:r>
            <w:hyperlink r:id="rId78">
              <w:r>
                <w:rPr>
                  <w:color w:val="1155CC"/>
                  <w:sz w:val="21"/>
                  <w:szCs w:val="21"/>
                  <w:u w:val="single"/>
                </w:rPr>
                <w:t>AISD’s Discovery Hill pond</w:t>
              </w:r>
            </w:hyperlink>
            <w:r>
              <w:rPr>
                <w:sz w:val="21"/>
                <w:szCs w:val="21"/>
              </w:rPr>
              <w:t>.</w:t>
            </w:r>
          </w:p>
          <w:p w:rsidR="00922C5F" w:rsidRDefault="00922C5F">
            <w:pPr>
              <w:widowControl w:val="0"/>
              <w:spacing w:line="240" w:lineRule="auto"/>
              <w:rPr>
                <w:b/>
                <w:sz w:val="21"/>
                <w:szCs w:val="21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Search </w:t>
            </w:r>
            <w:r>
              <w:rPr>
                <w:sz w:val="21"/>
                <w:szCs w:val="21"/>
              </w:rPr>
              <w:t>and</w:t>
            </w:r>
            <w:r>
              <w:rPr>
                <w:b/>
                <w:sz w:val="21"/>
                <w:szCs w:val="21"/>
              </w:rPr>
              <w:t xml:space="preserve"> find </w:t>
            </w:r>
            <w:hyperlink r:id="rId79"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u w:val="single"/>
                </w:rPr>
                <w:t>Pollutants of the Wetlands</w:t>
              </w:r>
            </w:hyperlink>
            <w:r>
              <w:t xml:space="preserve"> </w:t>
            </w:r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b/>
              </w:rPr>
            </w:pPr>
            <w:hyperlink r:id="rId80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</w:pPr>
            <w:r>
              <w:t>Checkpoint for Understanding:</w:t>
            </w:r>
          </w:p>
          <w:p w:rsidR="00922C5F" w:rsidRDefault="00922C5F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922C5F" w:rsidRDefault="00861E5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How do humans impact ecosystems?</w:t>
            </w:r>
          </w:p>
        </w:tc>
      </w:tr>
    </w:tbl>
    <w:p w:rsidR="00922C5F" w:rsidRDefault="00922C5F">
      <w:bookmarkStart w:id="0" w:name="_GoBack"/>
      <w:bookmarkEnd w:id="0"/>
    </w:p>
    <w:sectPr w:rsidR="00922C5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E8E"/>
    <w:multiLevelType w:val="multilevel"/>
    <w:tmpl w:val="3C284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607D5"/>
    <w:multiLevelType w:val="multilevel"/>
    <w:tmpl w:val="37DC6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F"/>
    <w:rsid w:val="00861E5D"/>
    <w:rsid w:val="009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3AD0"/>
  <w15:docId w15:val="{142EF2E0-92AF-405F-B7F2-1EC8877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55" Type="http://schemas.openxmlformats.org/officeDocument/2006/relationships/hyperlink" Target="https://drive.google.com/open?id=1D8haKJJj_MFSz95GmD9WvVLR1U8WQ3SH" TargetMode="External"/><Relationship Id="rId63" Type="http://schemas.openxmlformats.org/officeDocument/2006/relationships/hyperlink" Target="https://drive.google.com/open?id=12D7utT3H-knwzv58_8-XgxWHwIv2loAd" TargetMode="External"/><Relationship Id="rId68" Type="http://schemas.openxmlformats.org/officeDocument/2006/relationships/hyperlink" Target="https://drive.google.com/open?id=1PxWnRM7PtzE6JsUDBHjX50in8njvKN9o" TargetMode="External"/><Relationship Id="rId76" Type="http://schemas.openxmlformats.org/officeDocument/2006/relationships/hyperlink" Target="https://drive.google.com/open?id=1JgE5iFP9mDZ6y_GN6KL-PVzLQGTl87zn" TargetMode="External"/><Relationship Id="rId59" Type="http://schemas.openxmlformats.org/officeDocument/2006/relationships/hyperlink" Target="https://drive.google.com/open?id=1ogTynpEeP0D4660BK-56yjUD07Hn4bxg" TargetMode="External"/><Relationship Id="rId67" Type="http://schemas.openxmlformats.org/officeDocument/2006/relationships/hyperlink" Target="https://youtu.be/1WlmGyN9VXs" TargetMode="External"/><Relationship Id="rId71" Type="http://schemas.openxmlformats.org/officeDocument/2006/relationships/hyperlink" Target="https://drive.google.com/open?id=1YBAXYP6b9hp8C-pIvcx7EilAy1ylxLe0" TargetMode="External"/><Relationship Id="rId2" Type="http://schemas.openxmlformats.org/officeDocument/2006/relationships/styles" Target="styles.xml"/><Relationship Id="rId54" Type="http://schemas.openxmlformats.org/officeDocument/2006/relationships/hyperlink" Target="https://youtu.be/ClYdw4d4OmA" TargetMode="External"/><Relationship Id="rId62" Type="http://schemas.openxmlformats.org/officeDocument/2006/relationships/hyperlink" Target="https://drive.google.com/open?id=12D7utT3H-knwzv58_8-XgxWHwIv2loAd" TargetMode="External"/><Relationship Id="rId70" Type="http://schemas.openxmlformats.org/officeDocument/2006/relationships/hyperlink" Target="https://www.youtube.com/watch?v=vXRzEO3CPX0" TargetMode="External"/><Relationship Id="rId75" Type="http://schemas.openxmlformats.org/officeDocument/2006/relationships/hyperlink" Target="https://www.brainpop.com/science/earthsystem/everglad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3" Type="http://schemas.openxmlformats.org/officeDocument/2006/relationships/hyperlink" Target="https://drive.google.com/open?id=1_u5OR1AlKgUVf-zoZdAUFJ9pUyoTQAPM" TargetMode="External"/><Relationship Id="rId58" Type="http://schemas.openxmlformats.org/officeDocument/2006/relationships/hyperlink" Target="https://drive.google.com/open?id=1ogTynpEeP0D4660BK-56yjUD07Hn4bxg" TargetMode="External"/><Relationship Id="rId66" Type="http://schemas.openxmlformats.org/officeDocument/2006/relationships/image" Target="media/image3.png"/><Relationship Id="rId74" Type="http://schemas.openxmlformats.org/officeDocument/2006/relationships/hyperlink" Target="https://drive.google.com/open?id=1rgzAzvjgLilc5aROJa7qJBjQke-huLrV" TargetMode="External"/><Relationship Id="rId79" Type="http://schemas.openxmlformats.org/officeDocument/2006/relationships/hyperlink" Target="https://drive.google.com/open?id=1q5uPK1ExtlNosD3C5zJ9TfnWYHUbnrTa" TargetMode="External"/><Relationship Id="rId5" Type="http://schemas.openxmlformats.org/officeDocument/2006/relationships/image" Target="media/image1.png"/><Relationship Id="rId57" Type="http://schemas.openxmlformats.org/officeDocument/2006/relationships/hyperlink" Target="https://drive.google.com/open?id=1LK2X3wAZZvS3dwzSbNWf5QxK4F_JBJl0" TargetMode="External"/><Relationship Id="rId61" Type="http://schemas.openxmlformats.org/officeDocument/2006/relationships/hyperlink" Target="https://drive.google.com/open?id=1vkpDYOaJyMo_bEq1PyZLsdC99YTTQwtt" TargetMode="External"/><Relationship Id="rId82" Type="http://schemas.openxmlformats.org/officeDocument/2006/relationships/theme" Target="theme/theme1.xml"/><Relationship Id="rId52" Type="http://schemas.openxmlformats.org/officeDocument/2006/relationships/image" Target="media/image11.png"/><Relationship Id="rId60" Type="http://schemas.openxmlformats.org/officeDocument/2006/relationships/hyperlink" Target="https://drive.google.com/open?id=1vkpDYOaJyMo_bEq1PyZLsdC99YTTQwtt" TargetMode="External"/><Relationship Id="rId65" Type="http://schemas.openxmlformats.org/officeDocument/2006/relationships/hyperlink" Target="https://drive.google.com/open?id=1PkQzpcgVNPXdLFT5xRVvkPZoMv9C20Hr" TargetMode="External"/><Relationship Id="rId73" Type="http://schemas.openxmlformats.org/officeDocument/2006/relationships/hyperlink" Target="https://drive.google.com/open?id=1cnGu6E9GHKORdss4maqh9ZzV1VNzNmku" TargetMode="External"/><Relationship Id="rId78" Type="http://schemas.openxmlformats.org/officeDocument/2006/relationships/hyperlink" Target="https://www.youtube.com/watch?v=cUDtxIhsCZ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56" Type="http://schemas.openxmlformats.org/officeDocument/2006/relationships/hyperlink" Target="https://drive.google.com/open?id=1LK2X3wAZZvS3dwzSbNWf5QxK4F_JBJl0" TargetMode="External"/><Relationship Id="rId64" Type="http://schemas.openxmlformats.org/officeDocument/2006/relationships/hyperlink" Target="https://drive.google.com/open?id=1PkQzpcgVNPXdLFT5xRVvkPZoMv9C20Hr" TargetMode="External"/><Relationship Id="rId69" Type="http://schemas.openxmlformats.org/officeDocument/2006/relationships/hyperlink" Target="https://drive.google.com/open?id=1B-0hrI6tNADXicjo0dJhQBCe71MEPJl2" TargetMode="External"/><Relationship Id="rId77" Type="http://schemas.openxmlformats.org/officeDocument/2006/relationships/hyperlink" Target="https://drive.google.com/open?id=1GBXkhURUqht1gs53qDuv5M0yHqV8z0Yn" TargetMode="External"/><Relationship Id="rId72" Type="http://schemas.openxmlformats.org/officeDocument/2006/relationships/hyperlink" Target="https://drive.google.com/open?id=1EARAq1Y4q_8cjA4Ft8Kg6hGch8ZVmLEj" TargetMode="External"/><Relationship Id="rId80" Type="http://schemas.openxmlformats.org/officeDocument/2006/relationships/hyperlink" Target="https://drive.google.com/open?id=1b_qwd00eeU9rW_Ipn9HGl3rzHDJNs_8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2020-05-06T21:47:00Z</dcterms:created>
  <dcterms:modified xsi:type="dcterms:W3CDTF">2020-05-06T21:49:00Z</dcterms:modified>
</cp:coreProperties>
</file>