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44D" w:rsidRPr="008230E4" w:rsidRDefault="008230E4" w:rsidP="008230E4">
      <w:pPr>
        <w:rPr>
          <w:b/>
        </w:rPr>
      </w:pPr>
      <w:r>
        <w:t>Students will learn 1-2 focus TEKS in every content area over the course of the week. These TEKS will be the f</w:t>
      </w:r>
      <w:r>
        <w:t xml:space="preserve">ocus of the lessons provided by </w:t>
      </w:r>
      <w:r>
        <w:t>teachers. The focus TEKS and additional TEKS for each week will be reinforced in daily activities refere</w:t>
      </w:r>
      <w:r>
        <w:t xml:space="preserve">nced below. Our Checkpoints for </w:t>
      </w:r>
      <w:r>
        <w:t xml:space="preserve">Understanding are questions designed to help gauge student progress toward the learning goal. </w:t>
      </w:r>
      <w:r w:rsidRPr="008230E4">
        <w:rPr>
          <w:b/>
        </w:rPr>
        <w:t>These checkpoints will be answered on BLEND.</w:t>
      </w:r>
    </w:p>
    <w:tbl>
      <w:tblPr>
        <w:tblStyle w:val="a"/>
        <w:tblW w:w="13545" w:type="dxa"/>
        <w:tblInd w:w="-47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355"/>
        <w:gridCol w:w="2250"/>
        <w:gridCol w:w="2235"/>
        <w:gridCol w:w="2265"/>
        <w:gridCol w:w="2325"/>
        <w:gridCol w:w="2115"/>
      </w:tblGrid>
      <w:tr w:rsidR="00C4544D">
        <w:tc>
          <w:tcPr>
            <w:tcW w:w="23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Week 5</w:t>
            </w: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Monday</w:t>
            </w: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Tuesday</w:t>
            </w: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 xml:space="preserve">Wednesday 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Thursday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Friday</w:t>
            </w:r>
          </w:p>
        </w:tc>
      </w:tr>
      <w:tr w:rsidR="00C4544D">
        <w:trPr>
          <w:trHeight w:val="470"/>
        </w:trPr>
        <w:tc>
          <w:tcPr>
            <w:tcW w:w="2355" w:type="dxa"/>
            <w:vMerge w:val="restart"/>
          </w:tcPr>
          <w:p w:rsidR="00C4544D" w:rsidRDefault="00C4544D">
            <w:pPr>
              <w:widowControl w:val="0"/>
              <w:spacing w:line="240" w:lineRule="auto"/>
            </w:pPr>
          </w:p>
          <w:p w:rsidR="00C4544D" w:rsidRDefault="008230E4">
            <w:pPr>
              <w:widowControl w:val="0"/>
              <w:spacing w:line="240" w:lineRule="auto"/>
            </w:pPr>
            <w:r>
              <w:rPr>
                <w:noProof/>
                <w:lang w:val="en-US"/>
              </w:rPr>
              <w:drawing>
                <wp:inline distT="114300" distB="114300" distL="114300" distR="114300" wp14:anchorId="7B015E96" wp14:editId="7E96A9FB">
                  <wp:extent cx="1271588" cy="927199"/>
                  <wp:effectExtent l="0" t="0" r="0" b="0"/>
                  <wp:docPr id="7" name="image10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10.png"/>
                          <pic:cNvPicPr preferRelativeResize="0"/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71588" cy="927199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544D" w:rsidRDefault="00C4544D">
            <w:pPr>
              <w:widowControl w:val="0"/>
              <w:spacing w:line="240" w:lineRule="auto"/>
              <w:rPr>
                <w:sz w:val="28"/>
                <w:szCs w:val="28"/>
              </w:rPr>
            </w:pPr>
          </w:p>
          <w:p w:rsidR="00C4544D" w:rsidRDefault="008230E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Mathematics </w:t>
            </w:r>
          </w:p>
          <w:p w:rsidR="00C4544D" w:rsidRDefault="00C4544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544D" w:rsidRDefault="008230E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Math Student Overview Page</w:t>
            </w:r>
          </w:p>
          <w:p w:rsidR="00C4544D" w:rsidRDefault="008230E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hyperlink r:id="rId6">
              <w:r>
                <w:rPr>
                  <w:color w:val="1155CC"/>
                  <w:sz w:val="28"/>
                  <w:szCs w:val="28"/>
                  <w:u w:val="single"/>
                </w:rPr>
                <w:t>Click Here</w:t>
              </w:r>
            </w:hyperlink>
            <w:r>
              <w:rPr>
                <w:noProof/>
                <w:lang w:val="en-US"/>
              </w:rPr>
              <mc:AlternateContent>
                <mc:Choice Requires="wps">
                  <w:drawing>
                    <wp:inline distT="114300" distB="114300" distL="114300" distR="114300" wp14:anchorId="75040E5F" wp14:editId="37A84D05">
                      <wp:extent cx="378542" cy="366713"/>
                      <wp:effectExtent l="0" t="0" r="0" b="0"/>
                      <wp:docPr id="1" name="Left Arrow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-2345632">
                                <a:off x="2865916" y="1620210"/>
                                <a:ext cx="476219" cy="351682"/>
                              </a:xfrm>
                              <a:prstGeom prst="leftArrow">
                                <a:avLst>
                                  <a:gd name="adj1" fmla="val 50000"/>
                                  <a:gd name="adj2" fmla="val 50000"/>
                                </a:avLst>
                              </a:prstGeom>
                              <a:solidFill>
                                <a:srgbClr val="FF0000"/>
                              </a:solidFill>
                              <a:ln w="9525" cap="flat" cmpd="sng">
                                <a:solidFill>
                                  <a:srgbClr val="000000"/>
                                </a:solidFill>
                                <a:prstDash val="solid"/>
                                <a:round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:rsidR="00C4544D" w:rsidRDefault="00C4544D">
                                  <w:pPr>
                                    <w:spacing w:line="240" w:lineRule="auto"/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inline>
                  </w:drawing>
                </mc:Choice>
                <mc:Fallback>
                  <w:pict>
                    <v:shapetype w14:anchorId="75040E5F" id="_x0000_t66" coordsize="21600,21600" o:spt="66" adj="5400,5400" path="m@0,l@0@1,21600@1,21600@2@0@2@0,21600,,10800xe">
                      <v:stroke joinstyle="miter"/>
                      <v:formulas>
                        <v:f eqn="val #0"/>
                        <v:f eqn="val #1"/>
                        <v:f eqn="sum 21600 0 #1"/>
                        <v:f eqn="prod #0 #1 10800"/>
                        <v:f eqn="sum #0 0 @3"/>
                      </v:formulas>
                      <v:path o:connecttype="custom" o:connectlocs="@0,0;0,10800;@0,21600;21600,10800" o:connectangles="270,180,90,0" textboxrect="@4,@1,21600,@2"/>
                      <v:handles>
                        <v:h position="#0,#1" xrange="0,21600" yrange="0,10800"/>
                      </v:handles>
                    </v:shapetype>
                    <v:shape id="Left Arrow 1" o:spid="_x0000_s1026" type="#_x0000_t66" style="width:29.8pt;height:28.9pt;rotation:-2562056fd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" adj="7976" fillcolor="red">
                      <v:stroke startarrowwidth="narrow" startarrowlength="short" endarrowwidth="narrow" endarrowlength="short" joinstyle="round"/>
                      <v:textbox inset="2.53958mm,2.53958mm,2.53958mm,2.53958mm">
                        <w:txbxContent>
                          <w:p w:rsidR="00C4544D" w:rsidRDefault="00C4544D">
                            <w:pPr>
                              <w:spacing w:line="240" w:lineRule="auto"/>
                              <w:textDirection w:val="btLr"/>
                            </w:pPr>
                          </w:p>
                        </w:txbxContent>
                      </v:textbox>
                      <w10:anchorlock/>
                    </v:shape>
                  </w:pict>
                </mc:Fallback>
              </mc:AlternateContent>
            </w:r>
          </w:p>
          <w:p w:rsidR="00C4544D" w:rsidRDefault="008230E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  <w:p w:rsidR="00C4544D" w:rsidRDefault="00C4544D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</w:p>
          <w:p w:rsidR="00C4544D" w:rsidRDefault="00C4544D">
            <w:pPr>
              <w:widowControl w:val="0"/>
              <w:spacing w:line="240" w:lineRule="auto"/>
              <w:jc w:val="center"/>
            </w:pPr>
          </w:p>
        </w:tc>
        <w:tc>
          <w:tcPr>
            <w:tcW w:w="111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</w:pPr>
            <w:r>
              <w:rPr>
                <w:b/>
              </w:rPr>
              <w:t xml:space="preserve">Focus TEKS: </w:t>
            </w:r>
            <w:r>
              <w:t>5.3(E) solve for products of decimals to the hundredths, including situations involving money, using strategies based on place-value understandings, properties of operations, and the relationship to the multiplication of whole numbers</w:t>
            </w:r>
          </w:p>
          <w:p w:rsidR="00C4544D" w:rsidRDefault="00C4544D">
            <w:pPr>
              <w:widowControl w:val="0"/>
              <w:spacing w:line="240" w:lineRule="auto"/>
            </w:pPr>
          </w:p>
          <w:p w:rsidR="00C4544D" w:rsidRDefault="008230E4">
            <w:pPr>
              <w:widowControl w:val="0"/>
              <w:spacing w:after="200" w:line="240" w:lineRule="auto"/>
            </w:pPr>
            <w:r>
              <w:rPr>
                <w:b/>
              </w:rPr>
              <w:t xml:space="preserve">Learning Goal(s) </w:t>
            </w:r>
            <w:r>
              <w:t>I c</w:t>
            </w:r>
            <w:r>
              <w:t xml:space="preserve">an use a variety of methods, including models, repeated addition, properties of multiplication, estimation and reasoning to solve for products of decimals to the hundredths place. </w:t>
            </w:r>
          </w:p>
          <w:p w:rsidR="00C4544D" w:rsidRDefault="008230E4">
            <w:pPr>
              <w:widowControl w:val="0"/>
              <w:spacing w:line="240" w:lineRule="auto"/>
              <w:rPr>
                <w:b/>
              </w:rPr>
            </w:pPr>
            <w:hyperlink r:id="rId7">
              <w:r>
                <w:rPr>
                  <w:b/>
                  <w:color w:val="1155CC"/>
                  <w:u w:val="single"/>
                </w:rPr>
                <w:t xml:space="preserve">Click here to view all printable pages at once. </w:t>
              </w:r>
            </w:hyperlink>
          </w:p>
        </w:tc>
      </w:tr>
      <w:tr w:rsidR="00C4544D">
        <w:trPr>
          <w:trHeight w:val="1950"/>
        </w:trPr>
        <w:tc>
          <w:tcPr>
            <w:tcW w:w="2355" w:type="dxa"/>
            <w:vMerge/>
          </w:tcPr>
          <w:p w:rsidR="00C4544D" w:rsidRDefault="00C4544D">
            <w:pPr>
              <w:widowControl w:val="0"/>
              <w:spacing w:line="240" w:lineRule="auto"/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numPr>
                <w:ilvl w:val="0"/>
                <w:numId w:val="2"/>
              </w:numPr>
              <w:spacing w:after="200" w:line="240" w:lineRule="auto"/>
              <w:ind w:left="270"/>
              <w:rPr>
                <w:b/>
              </w:rPr>
            </w:pPr>
            <w:hyperlink r:id="rId8">
              <w:r>
                <w:rPr>
                  <w:b/>
                  <w:color w:val="1155CC"/>
                  <w:u w:val="single"/>
                </w:rPr>
                <w:t>Activity 1</w:t>
              </w:r>
            </w:hyperlink>
            <w:r>
              <w:t xml:space="preserve"> Students will review multiplication of decimals as related to money and repeated addition..</w:t>
            </w:r>
          </w:p>
          <w:p w:rsidR="00C4544D" w:rsidRDefault="008230E4">
            <w:pPr>
              <w:widowControl w:val="0"/>
              <w:numPr>
                <w:ilvl w:val="0"/>
                <w:numId w:val="2"/>
              </w:numPr>
              <w:spacing w:line="240" w:lineRule="auto"/>
              <w:ind w:left="270"/>
              <w:rPr>
                <w:b/>
              </w:rPr>
            </w:pPr>
            <w:hyperlink r:id="rId9">
              <w:r>
                <w:rPr>
                  <w:b/>
                  <w:color w:val="1155CC"/>
                  <w:u w:val="single"/>
                </w:rPr>
                <w:t xml:space="preserve">Checkpoint for Understanding #1 </w:t>
              </w:r>
            </w:hyperlink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numPr>
                <w:ilvl w:val="0"/>
                <w:numId w:val="7"/>
              </w:numPr>
              <w:spacing w:after="200" w:line="240" w:lineRule="auto"/>
              <w:ind w:left="270"/>
              <w:rPr>
                <w:b/>
              </w:rPr>
            </w:pPr>
            <w:hyperlink r:id="rId10">
              <w:r>
                <w:rPr>
                  <w:b/>
                  <w:color w:val="1155CC"/>
                  <w:u w:val="single"/>
                </w:rPr>
                <w:t>Activity 2</w:t>
              </w:r>
            </w:hyperlink>
            <w:r>
              <w:rPr>
                <w:b/>
              </w:rPr>
              <w:t xml:space="preserve"> </w:t>
            </w:r>
            <w:r>
              <w:t>Students will practice multiplication with</w:t>
            </w:r>
            <w:r>
              <w:t xml:space="preserve"> decimals using models and estimation</w:t>
            </w:r>
            <w:r>
              <w:rPr>
                <w:b/>
              </w:rPr>
              <w:t xml:space="preserve">. </w:t>
            </w:r>
          </w:p>
          <w:p w:rsidR="00C4544D" w:rsidRDefault="008230E4">
            <w:pPr>
              <w:widowControl w:val="0"/>
              <w:numPr>
                <w:ilvl w:val="0"/>
                <w:numId w:val="7"/>
              </w:numPr>
              <w:spacing w:line="240" w:lineRule="auto"/>
              <w:ind w:left="270"/>
              <w:rPr>
                <w:b/>
              </w:rPr>
            </w:pPr>
            <w:hyperlink r:id="rId11">
              <w:r>
                <w:rPr>
                  <w:b/>
                  <w:color w:val="1155CC"/>
                  <w:u w:val="single"/>
                </w:rPr>
                <w:t xml:space="preserve">Checkpoint for Understanding #2 </w:t>
              </w:r>
            </w:hyperlink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numPr>
                <w:ilvl w:val="0"/>
                <w:numId w:val="1"/>
              </w:numPr>
              <w:spacing w:after="200" w:line="240" w:lineRule="auto"/>
              <w:ind w:left="180" w:hanging="270"/>
              <w:rPr>
                <w:b/>
              </w:rPr>
            </w:pPr>
            <w:hyperlink r:id="rId12">
              <w:r>
                <w:rPr>
                  <w:b/>
                  <w:color w:val="1155CC"/>
                  <w:u w:val="single"/>
                </w:rPr>
                <w:t>Activity 3</w:t>
              </w:r>
            </w:hyperlink>
            <w:r>
              <w:rPr>
                <w:b/>
              </w:rPr>
              <w:t xml:space="preserve"> </w:t>
            </w:r>
            <w:r>
              <w:t>Students will use area models to multiply a tenth by a tenth.</w:t>
            </w:r>
          </w:p>
          <w:p w:rsidR="00C4544D" w:rsidRDefault="008230E4">
            <w:pPr>
              <w:widowControl w:val="0"/>
              <w:numPr>
                <w:ilvl w:val="0"/>
                <w:numId w:val="1"/>
              </w:numPr>
              <w:spacing w:line="240" w:lineRule="auto"/>
              <w:ind w:left="180" w:hanging="270"/>
              <w:rPr>
                <w:b/>
              </w:rPr>
            </w:pPr>
            <w:hyperlink r:id="rId13">
              <w:r>
                <w:rPr>
                  <w:b/>
                  <w:color w:val="1155CC"/>
                  <w:u w:val="single"/>
                </w:rPr>
                <w:t>Checkpoint for Understanding #3</w:t>
              </w:r>
            </w:hyperlink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numPr>
                <w:ilvl w:val="0"/>
                <w:numId w:val="3"/>
              </w:numPr>
              <w:spacing w:after="200" w:line="240" w:lineRule="auto"/>
              <w:ind w:left="180" w:hanging="270"/>
              <w:rPr>
                <w:b/>
              </w:rPr>
            </w:pPr>
            <w:hyperlink r:id="rId14">
              <w:r>
                <w:rPr>
                  <w:b/>
                  <w:color w:val="1155CC"/>
                  <w:u w:val="single"/>
                </w:rPr>
                <w:t>Activity 4</w:t>
              </w:r>
            </w:hyperlink>
            <w:r>
              <w:rPr>
                <w:b/>
              </w:rPr>
              <w:t xml:space="preserve"> </w:t>
            </w:r>
            <w:r>
              <w:t>Students will examine the relationship between place value and factors.</w:t>
            </w:r>
          </w:p>
          <w:p w:rsidR="00C4544D" w:rsidRDefault="008230E4">
            <w:pPr>
              <w:widowControl w:val="0"/>
              <w:numPr>
                <w:ilvl w:val="0"/>
                <w:numId w:val="3"/>
              </w:numPr>
              <w:spacing w:line="240" w:lineRule="auto"/>
              <w:ind w:left="180" w:hanging="270"/>
              <w:rPr>
                <w:b/>
              </w:rPr>
            </w:pPr>
            <w:hyperlink r:id="rId15">
              <w:r>
                <w:rPr>
                  <w:b/>
                  <w:color w:val="1155CC"/>
                  <w:u w:val="single"/>
                </w:rPr>
                <w:t>Che</w:t>
              </w:r>
              <w:r>
                <w:rPr>
                  <w:b/>
                  <w:color w:val="1155CC"/>
                  <w:u w:val="single"/>
                </w:rPr>
                <w:t>ckpoint for Understanding #4</w:t>
              </w:r>
            </w:hyperlink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numPr>
                <w:ilvl w:val="0"/>
                <w:numId w:val="4"/>
              </w:numPr>
              <w:spacing w:after="200" w:line="240" w:lineRule="auto"/>
              <w:ind w:left="180" w:hanging="270"/>
              <w:rPr>
                <w:b/>
              </w:rPr>
            </w:pPr>
            <w:hyperlink r:id="rId16">
              <w:r>
                <w:rPr>
                  <w:b/>
                  <w:color w:val="1155CC"/>
                  <w:u w:val="single"/>
                </w:rPr>
                <w:t>Activity 5</w:t>
              </w:r>
            </w:hyperlink>
            <w:r>
              <w:rPr>
                <w:b/>
              </w:rPr>
              <w:t xml:space="preserve"> </w:t>
            </w:r>
            <w:r>
              <w:t xml:space="preserve">Students will review multiplying with decimals with a fun “Math Lib” activity. </w:t>
            </w:r>
          </w:p>
          <w:p w:rsidR="00C4544D" w:rsidRDefault="008230E4">
            <w:pPr>
              <w:widowControl w:val="0"/>
              <w:numPr>
                <w:ilvl w:val="0"/>
                <w:numId w:val="4"/>
              </w:numPr>
              <w:spacing w:line="240" w:lineRule="auto"/>
              <w:ind w:left="180" w:hanging="270"/>
              <w:rPr>
                <w:b/>
              </w:rPr>
            </w:pPr>
            <w:hyperlink r:id="rId17">
              <w:r>
                <w:rPr>
                  <w:b/>
                  <w:color w:val="1155CC"/>
                  <w:u w:val="single"/>
                </w:rPr>
                <w:t>Checkpoint for Understanding #5</w:t>
              </w:r>
            </w:hyperlink>
            <w:r>
              <w:rPr>
                <w:b/>
                <w:color w:val="1155CC"/>
                <w:u w:val="single"/>
              </w:rPr>
              <w:br/>
            </w:r>
            <w:r>
              <w:rPr>
                <w:b/>
                <w:color w:val="1155CC"/>
                <w:u w:val="single"/>
              </w:rPr>
              <w:br/>
            </w:r>
            <w:r>
              <w:rPr>
                <w:b/>
                <w:color w:val="1155CC"/>
                <w:u w:val="single"/>
              </w:rPr>
              <w:br/>
            </w:r>
            <w:r>
              <w:rPr>
                <w:b/>
                <w:color w:val="1155CC"/>
                <w:u w:val="single"/>
              </w:rPr>
              <w:br/>
            </w:r>
            <w:r>
              <w:rPr>
                <w:b/>
                <w:color w:val="1155CC"/>
                <w:u w:val="single"/>
              </w:rPr>
              <w:br/>
            </w:r>
            <w:r>
              <w:rPr>
                <w:b/>
                <w:color w:val="1155CC"/>
                <w:u w:val="single"/>
              </w:rPr>
              <w:br/>
            </w:r>
            <w:r>
              <w:rPr>
                <w:b/>
                <w:color w:val="1155CC"/>
                <w:u w:val="single"/>
              </w:rPr>
              <w:br/>
            </w:r>
            <w:r>
              <w:rPr>
                <w:b/>
                <w:color w:val="1155CC"/>
                <w:u w:val="single"/>
              </w:rPr>
              <w:br/>
            </w:r>
            <w:r>
              <w:rPr>
                <w:b/>
                <w:color w:val="1155CC"/>
                <w:u w:val="single"/>
              </w:rPr>
              <w:br/>
            </w:r>
            <w:bookmarkStart w:id="0" w:name="_GoBack"/>
            <w:bookmarkEnd w:id="0"/>
          </w:p>
        </w:tc>
      </w:tr>
      <w:tr w:rsidR="00C4544D">
        <w:trPr>
          <w:trHeight w:val="470"/>
        </w:trPr>
        <w:tc>
          <w:tcPr>
            <w:tcW w:w="2355" w:type="dxa"/>
            <w:vMerge w:val="restart"/>
          </w:tcPr>
          <w:p w:rsidR="00C4544D" w:rsidRDefault="00C4544D">
            <w:pPr>
              <w:widowControl w:val="0"/>
              <w:spacing w:line="240" w:lineRule="auto"/>
              <w:rPr>
                <w:b/>
              </w:rPr>
            </w:pPr>
          </w:p>
          <w:p w:rsidR="00C4544D" w:rsidRDefault="008230E4">
            <w:pPr>
              <w:widowControl w:val="0"/>
              <w:spacing w:line="240" w:lineRule="auto"/>
              <w:jc w:val="center"/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val="en-US"/>
              </w:rPr>
              <w:drawing>
                <wp:inline distT="114300" distB="114300" distL="114300" distR="114300" wp14:anchorId="4E9F920E" wp14:editId="5AB309BD">
                  <wp:extent cx="1049673" cy="747713"/>
                  <wp:effectExtent l="0" t="0" r="0" b="0"/>
                  <wp:docPr id="9" name="image7.pn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7.png"/>
                          <pic:cNvPicPr preferRelativeResize="0"/>
                        </pic:nvPicPr>
                        <pic:blipFill>
                          <a:blip r:embed="rId18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49673" cy="747713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inline>
              </w:drawing>
            </w:r>
          </w:p>
          <w:p w:rsidR="00C4544D" w:rsidRDefault="008230E4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  <w:r>
              <w:rPr>
                <w:sz w:val="28"/>
                <w:szCs w:val="28"/>
              </w:rPr>
              <w:t>Science</w:t>
            </w:r>
          </w:p>
          <w:p w:rsidR="00C4544D" w:rsidRDefault="00C4544D">
            <w:pPr>
              <w:widowControl w:val="0"/>
              <w:spacing w:line="240" w:lineRule="auto"/>
              <w:jc w:val="center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1190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  <w:ind w:left="1530" w:hanging="1530"/>
            </w:pPr>
            <w:r>
              <w:rPr>
                <w:b/>
              </w:rPr>
              <w:t xml:space="preserve">Focus TEKS:   </w:t>
            </w:r>
            <w:r>
              <w:t xml:space="preserve">5.9A Observe the way organisms live and survive in their ecosystem by interacting with the living and non-living elements. </w:t>
            </w:r>
          </w:p>
          <w:p w:rsidR="00C4544D" w:rsidRDefault="008230E4">
            <w:pPr>
              <w:widowControl w:val="0"/>
              <w:spacing w:line="240" w:lineRule="auto"/>
              <w:ind w:left="1890"/>
              <w:rPr>
                <w:b/>
              </w:rPr>
            </w:pPr>
            <w:r>
              <w:rPr>
                <w:b/>
              </w:rPr>
              <w:t>Learning Goal(s): I can…</w:t>
            </w:r>
          </w:p>
          <w:p w:rsidR="00C4544D" w:rsidRDefault="008230E4">
            <w:pPr>
              <w:widowControl w:val="0"/>
              <w:spacing w:line="240" w:lineRule="auto"/>
              <w:ind w:left="1890"/>
            </w:pPr>
            <w:r>
              <w:t>Explain the difference between a population, ecosystem, habitat and biome</w:t>
            </w:r>
          </w:p>
          <w:p w:rsidR="00C4544D" w:rsidRDefault="008230E4">
            <w:pPr>
              <w:widowControl w:val="0"/>
              <w:spacing w:line="240" w:lineRule="auto"/>
              <w:ind w:left="1890"/>
            </w:pPr>
            <w:r>
              <w:t>Identify the different characteristics that make up a biome</w:t>
            </w:r>
          </w:p>
          <w:p w:rsidR="00C4544D" w:rsidRDefault="008230E4">
            <w:pPr>
              <w:widowControl w:val="0"/>
              <w:spacing w:line="240" w:lineRule="auto"/>
              <w:ind w:left="1890"/>
            </w:pPr>
            <w:r>
              <w:t>Tell the different biomes by their descriptions and locate them on a world map</w:t>
            </w:r>
          </w:p>
          <w:p w:rsidR="00C4544D" w:rsidRDefault="008230E4">
            <w:pPr>
              <w:widowControl w:val="0"/>
              <w:spacing w:line="240" w:lineRule="auto"/>
              <w:ind w:left="1890"/>
              <w:rPr>
                <w:b/>
              </w:rPr>
            </w:pPr>
            <w:r>
              <w:t>Recognize the food web of a biome based on the organisms that live &amp; survive within it</w:t>
            </w:r>
          </w:p>
        </w:tc>
      </w:tr>
      <w:tr w:rsidR="00C4544D">
        <w:trPr>
          <w:trHeight w:val="480"/>
        </w:trPr>
        <w:tc>
          <w:tcPr>
            <w:tcW w:w="2355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C454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</w:pPr>
            <w:r>
              <w:t>Activity:</w:t>
            </w: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6"/>
                <w:szCs w:val="16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Read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ScienceSaurus </w:t>
            </w:r>
            <w:hyperlink r:id="rId19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Environments &amp; Ecosystems</w:t>
              </w:r>
            </w:hyperlink>
            <w:r>
              <w:rPr>
                <w:rFonts w:ascii="Comic Sans MS" w:eastAsia="Comic Sans MS" w:hAnsi="Comic Sans MS" w:cs="Comic Sans MS"/>
                <w:sz w:val="16"/>
                <w:szCs w:val="16"/>
              </w:rPr>
              <w:t xml:space="preserve"> pp 128-129</w:t>
            </w:r>
          </w:p>
          <w:p w:rsidR="00C4544D" w:rsidRDefault="00C4544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 xml:space="preserve">Complete </w:t>
            </w:r>
            <w:hyperlink r:id="rId20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Habitats, Ecosystems and Biomes</w:t>
              </w:r>
            </w:hyperlink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b/>
              </w:rPr>
            </w:pPr>
            <w:hyperlink r:id="rId21">
              <w:r>
                <w:rPr>
                  <w:b/>
                  <w:color w:val="1155CC"/>
                  <w:u w:val="single"/>
                </w:rPr>
                <w:t>KEY</w:t>
              </w:r>
            </w:hyperlink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</w:pPr>
            <w:r>
              <w:t xml:space="preserve">Checkpoint for Understanding: </w:t>
            </w: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do populations, ecosystems and habitats have to do with each other?</w:t>
            </w:r>
          </w:p>
          <w:p w:rsidR="00C4544D" w:rsidRDefault="00C454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</w:pPr>
            <w:r>
              <w:t>Activity:</w:t>
            </w:r>
          </w:p>
          <w:p w:rsidR="00C4544D" w:rsidRDefault="008230E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22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A Scavenger Hunt of Items and Ideas!!!!</w:t>
              </w:r>
            </w:hyperlink>
          </w:p>
          <w:p w:rsidR="00C4544D" w:rsidRDefault="00C4544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Read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and </w:t>
            </w: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Use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your house, yard &amp; imagination to  describe the biomes.</w:t>
            </w: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t>Checkpoint for Understanding:</w:t>
            </w: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are three factors used in describing a biome?</w:t>
            </w:r>
          </w:p>
          <w:p w:rsidR="00C4544D" w:rsidRDefault="00C4544D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226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</w:pPr>
            <w:r>
              <w:t>Activity:</w:t>
            </w: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3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Mapping: Biomes o</w:t>
              </w:r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f the World</w:t>
              </w:r>
            </w:hyperlink>
          </w:p>
          <w:p w:rsidR="00C4544D" w:rsidRDefault="00C4544D">
            <w:pPr>
              <w:widowControl w:val="0"/>
              <w:spacing w:line="240" w:lineRule="auto"/>
              <w:rPr>
                <w:b/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Color code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a world map</w:t>
            </w:r>
            <w:r>
              <w:rPr>
                <w:rFonts w:ascii="Comic Sans MS" w:eastAsia="Comic Sans MS" w:hAnsi="Comic Sans MS" w:cs="Comic Sans MS"/>
              </w:rPr>
              <w:t>.</w:t>
            </w:r>
          </w:p>
          <w:p w:rsidR="00C4544D" w:rsidRDefault="00C4544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sz w:val="10"/>
                <w:szCs w:val="10"/>
              </w:rPr>
            </w:pPr>
            <w:r>
              <w:t>Checkpoint for Understanding:</w:t>
            </w: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patterns do  you notice when biomes are identified on a  world map?</w:t>
            </w:r>
          </w:p>
        </w:tc>
        <w:tc>
          <w:tcPr>
            <w:tcW w:w="23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</w:pPr>
            <w:r>
              <w:t>Activity:</w:t>
            </w: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hyperlink r:id="rId24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Biomes and their Food Webs</w:t>
              </w:r>
            </w:hyperlink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Identify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which food webs represents which ecosystem/ biome</w:t>
            </w:r>
          </w:p>
          <w:p w:rsidR="00C4544D" w:rsidRDefault="00C4544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sz w:val="10"/>
                <w:szCs w:val="10"/>
              </w:rPr>
            </w:pPr>
            <w:hyperlink r:id="rId25">
              <w:r>
                <w:rPr>
                  <w:b/>
                  <w:color w:val="1155CC"/>
                  <w:sz w:val="20"/>
                  <w:szCs w:val="20"/>
                  <w:u w:val="single"/>
                </w:rPr>
                <w:t>KEY</w:t>
              </w:r>
            </w:hyperlink>
          </w:p>
          <w:p w:rsidR="00C4544D" w:rsidRDefault="008230E4">
            <w:pPr>
              <w:widowControl w:val="0"/>
              <w:spacing w:line="240" w:lineRule="auto"/>
            </w:pPr>
            <w:r>
              <w:t>Checkpoint for Understanding:</w:t>
            </w: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What do all food webs have in common?</w:t>
            </w:r>
          </w:p>
        </w:tc>
        <w:tc>
          <w:tcPr>
            <w:tcW w:w="2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t>Activity:</w:t>
            </w: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20"/>
                <w:szCs w:val="20"/>
              </w:rPr>
            </w:pPr>
            <w:hyperlink r:id="rId26">
              <w:r>
                <w:rPr>
                  <w:rFonts w:ascii="Comic Sans MS" w:eastAsia="Comic Sans MS" w:hAnsi="Comic Sans MS" w:cs="Comic Sans MS"/>
                  <w:color w:val="1155CC"/>
                  <w:sz w:val="20"/>
                  <w:szCs w:val="20"/>
                  <w:u w:val="single"/>
                </w:rPr>
                <w:t>Matching Biomes</w:t>
              </w:r>
            </w:hyperlink>
          </w:p>
          <w:p w:rsidR="00C4544D" w:rsidRDefault="00C4544D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b/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b/>
                <w:sz w:val="20"/>
                <w:szCs w:val="20"/>
              </w:rPr>
              <w:t>Apply</w:t>
            </w: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 xml:space="preserve"> what you know</w:t>
            </w: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hyperlink r:id="rId27">
              <w:r>
                <w:rPr>
                  <w:b/>
                  <w:color w:val="1155CC"/>
                  <w:sz w:val="20"/>
                  <w:szCs w:val="20"/>
                  <w:u w:val="single"/>
                </w:rPr>
                <w:t>KEY</w:t>
              </w:r>
            </w:hyperlink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</w:pPr>
            <w:r>
              <w:t>Checkpoint for Understanding:</w:t>
            </w:r>
          </w:p>
          <w:p w:rsidR="00C4544D" w:rsidRDefault="00C4544D">
            <w:pPr>
              <w:widowControl w:val="0"/>
              <w:spacing w:line="240" w:lineRule="auto"/>
              <w:rPr>
                <w:sz w:val="10"/>
                <w:szCs w:val="10"/>
              </w:rPr>
            </w:pPr>
          </w:p>
          <w:p w:rsidR="00C4544D" w:rsidRDefault="008230E4">
            <w:pPr>
              <w:widowControl w:val="0"/>
              <w:spacing w:line="240" w:lineRule="auto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Which of the biomes seems to be found in more places in the world and cover the most area?</w:t>
            </w:r>
          </w:p>
        </w:tc>
      </w:tr>
    </w:tbl>
    <w:p w:rsidR="00C4544D" w:rsidRDefault="00C4544D"/>
    <w:sectPr w:rsidR="00C4544D" w:rsidSect="008230E4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120A28"/>
    <w:multiLevelType w:val="multilevel"/>
    <w:tmpl w:val="BC660B86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164578E0"/>
    <w:multiLevelType w:val="multilevel"/>
    <w:tmpl w:val="DDC4496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34044200"/>
    <w:multiLevelType w:val="multilevel"/>
    <w:tmpl w:val="98B860E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9743A1E"/>
    <w:multiLevelType w:val="multilevel"/>
    <w:tmpl w:val="B4BC3F2E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" w15:restartNumberingAfterBreak="0">
    <w:nsid w:val="4B720FE1"/>
    <w:multiLevelType w:val="multilevel"/>
    <w:tmpl w:val="D09A306C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" w15:restartNumberingAfterBreak="0">
    <w:nsid w:val="76C11136"/>
    <w:multiLevelType w:val="multilevel"/>
    <w:tmpl w:val="D0FAC48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7C6C0AB9"/>
    <w:multiLevelType w:val="multilevel"/>
    <w:tmpl w:val="19DEA932"/>
    <w:lvl w:ilvl="0">
      <w:start w:val="1"/>
      <w:numFmt w:val="decimal"/>
      <w:lvlText w:val="%1."/>
      <w:lvlJc w:val="left"/>
      <w:pPr>
        <w:ind w:left="54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544D"/>
    <w:rsid w:val="008230E4"/>
    <w:rsid w:val="00C45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D543B3"/>
  <w15:docId w15:val="{E074178F-C618-44D0-9923-FC60E50C3A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drive.google.com/open?id=1jkuZbb0lVQ89P8YZLx35M-i7jKLLeCN_" TargetMode="External"/><Relationship Id="rId13" Type="http://schemas.openxmlformats.org/officeDocument/2006/relationships/hyperlink" Target="https://drive.google.com/open?id=1lHkji-DyeszJoUvumVrMVIVTYlsYbOCt" TargetMode="External"/><Relationship Id="rId18" Type="http://schemas.openxmlformats.org/officeDocument/2006/relationships/image" Target="media/image2.png"/><Relationship Id="rId26" Type="http://schemas.openxmlformats.org/officeDocument/2006/relationships/hyperlink" Target="https://drive.google.com/open?id=1FjP1Rqn05nOcbmwka-czXqIWehU6UnRo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drive.google.com/open?id=1J6MVbcW3l7dM1Pp38Y3oD8ivhtcy5YJd" TargetMode="External"/><Relationship Id="rId7" Type="http://schemas.openxmlformats.org/officeDocument/2006/relationships/hyperlink" Target="https://drive.google.com/open?id=1w5SKgqPfhhvuJ65EMgAM3PHlAJAaTi8J" TargetMode="External"/><Relationship Id="rId12" Type="http://schemas.openxmlformats.org/officeDocument/2006/relationships/hyperlink" Target="https://drive.google.com/open?id=1gOPQjbIguOxsS0YxE2zVTw0SV7RKdT6n" TargetMode="External"/><Relationship Id="rId17" Type="http://schemas.openxmlformats.org/officeDocument/2006/relationships/hyperlink" Target="https://drive.google.com/open?id=1eIhHPOgG559T3imr-0Wuve1CjAqyC5k4" TargetMode="External"/><Relationship Id="rId25" Type="http://schemas.openxmlformats.org/officeDocument/2006/relationships/hyperlink" Target="https://drive.google.com/open?id=1pwrxc0uONpCqh903NzGk-afA4RFlu0Hh" TargetMode="External"/><Relationship Id="rId2" Type="http://schemas.openxmlformats.org/officeDocument/2006/relationships/styles" Target="styles.xml"/><Relationship Id="rId16" Type="http://schemas.openxmlformats.org/officeDocument/2006/relationships/hyperlink" Target="https://drive.google.com/open?id=1H5rMassQRXxlF5u3tx2fs36VbX3dX-ku" TargetMode="External"/><Relationship Id="rId20" Type="http://schemas.openxmlformats.org/officeDocument/2006/relationships/hyperlink" Target="https://drive.google.com/open?id=18JtsMGIlZZ2DlWTYvAqtkS0hVVyy7ipS" TargetMode="External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drive.google.com/open?id=1To38iF5wEJt3CuFuWPj5u0mVpbdxJppn" TargetMode="External"/><Relationship Id="rId11" Type="http://schemas.openxmlformats.org/officeDocument/2006/relationships/hyperlink" Target="https://drive.google.com/open?id=1SZ3mdn8aAOdjW8490VhJ3BdHY3elh-Bl" TargetMode="External"/><Relationship Id="rId24" Type="http://schemas.openxmlformats.org/officeDocument/2006/relationships/hyperlink" Target="https://drive.google.com/open?id=1n9pZ0DZAUb3qR40T1Wrpf7_ifmgsWoyo" TargetMode="External"/><Relationship Id="rId5" Type="http://schemas.openxmlformats.org/officeDocument/2006/relationships/image" Target="media/image1.png"/><Relationship Id="rId15" Type="http://schemas.openxmlformats.org/officeDocument/2006/relationships/hyperlink" Target="https://drive.google.com/open?id=1lAvll4Detr--D9IMw3f1hUqUan8T_Cjt" TargetMode="External"/><Relationship Id="rId23" Type="http://schemas.openxmlformats.org/officeDocument/2006/relationships/hyperlink" Target="https://drive.google.com/open?id=1br62MevpBT3Sef8CLp_gkKRd1ZIUdA_j" TargetMode="External"/><Relationship Id="rId28" Type="http://schemas.openxmlformats.org/officeDocument/2006/relationships/fontTable" Target="fontTable.xml"/><Relationship Id="rId10" Type="http://schemas.openxmlformats.org/officeDocument/2006/relationships/hyperlink" Target="https://drive.google.com/open?id=1SuC-zfERZT-rmOxPatVFLfR9TzystRAc" TargetMode="External"/><Relationship Id="rId19" Type="http://schemas.openxmlformats.org/officeDocument/2006/relationships/hyperlink" Target="https://drive.google.com/open?id=19acLuff6edGBdVpA-NDHhzX8-0DdH3Q9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drive.google.com/open?id=1grREgx55KkzQgaHGhnfSlB-Actak_32-" TargetMode="External"/><Relationship Id="rId14" Type="http://schemas.openxmlformats.org/officeDocument/2006/relationships/hyperlink" Target="https://drive.google.com/open?id=144XcBSOkOxp239BvLgNQ8tNOR-tAR4Dv" TargetMode="External"/><Relationship Id="rId22" Type="http://schemas.openxmlformats.org/officeDocument/2006/relationships/hyperlink" Target="https://drive.google.com/open?id=1GwpWFhNzbruHY1IIAauAeSZm2sSioxOp" TargetMode="External"/><Relationship Id="rId27" Type="http://schemas.openxmlformats.org/officeDocument/2006/relationships/hyperlink" Target="https://drive.google.com/open?id=1dJkrcZVypWVh5R0NM_tYyi48n9X-q4D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728</Words>
  <Characters>4154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Windows User</cp:lastModifiedBy>
  <cp:revision>2</cp:revision>
  <dcterms:created xsi:type="dcterms:W3CDTF">2020-04-19T21:24:00Z</dcterms:created>
  <dcterms:modified xsi:type="dcterms:W3CDTF">2020-04-19T21:28:00Z</dcterms:modified>
</cp:coreProperties>
</file>